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昆小厨·尤晶晶直播间 第15场直播数据复盘报告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场次编号</w:t>
      </w:r>
      <w:r>
        <w:rPr>
          <w:rFonts w:eastAsia="等线" w:ascii="Arial" w:cs="Arial" w:hAnsi="Arial"/>
          <w:sz w:val="22"/>
        </w:rPr>
        <w:t>：第 15 场</w:t>
        <w:br/>
      </w:r>
      <w:r>
        <w:rPr>
          <w:rFonts w:eastAsia="等线" w:ascii="Arial" w:cs="Arial" w:hAnsi="Arial"/>
          <w:b w:val="true"/>
          <w:sz w:val="22"/>
        </w:rPr>
        <w:t>直播日期</w:t>
      </w:r>
      <w:r>
        <w:rPr>
          <w:rFonts w:eastAsia="等线" w:ascii="Arial" w:cs="Arial" w:hAnsi="Arial"/>
          <w:sz w:val="22"/>
        </w:rPr>
        <w:t>：2025 年 03 月 26 日</w:t>
        <w:br/>
      </w:r>
      <w:r>
        <w:rPr>
          <w:rFonts w:eastAsia="等线" w:ascii="Arial" w:cs="Arial" w:hAnsi="Arial"/>
          <w:b w:val="true"/>
          <w:sz w:val="22"/>
        </w:rPr>
        <w:t>直播时长</w:t>
      </w:r>
      <w:r>
        <w:rPr>
          <w:rFonts w:eastAsia="等线" w:ascii="Arial" w:cs="Arial" w:hAnsi="Arial"/>
          <w:sz w:val="22"/>
        </w:rPr>
        <w:t>：120 分钟（19:00-21:00）</w:t>
        <w:br/>
      </w:r>
      <w:r>
        <w:rPr>
          <w:rFonts w:eastAsia="等线" w:ascii="Arial" w:cs="Arial" w:hAnsi="Arial"/>
          <w:b w:val="true"/>
          <w:sz w:val="22"/>
        </w:rPr>
        <w:t>直播主题</w:t>
      </w:r>
      <w:r>
        <w:rPr>
          <w:rFonts w:eastAsia="等线" w:ascii="Arial" w:cs="Arial" w:hAnsi="Arial"/>
          <w:sz w:val="22"/>
        </w:rPr>
        <w:t>：云南鲜榨米线专场・家乡味限时特惠</w:t>
        <w:br/>
      </w:r>
      <w:r>
        <w:rPr>
          <w:rFonts w:eastAsia="等线" w:ascii="Arial" w:cs="Arial" w:hAnsi="Arial"/>
          <w:b w:val="true"/>
          <w:sz w:val="22"/>
        </w:rPr>
        <w:t>主播</w:t>
      </w:r>
      <w:r>
        <w:rPr>
          <w:rFonts w:eastAsia="等线" w:ascii="Arial" w:cs="Arial" w:hAnsi="Arial"/>
          <w:sz w:val="22"/>
        </w:rPr>
        <w:t>：尤晶晶</w:t>
        <w:br/>
      </w:r>
      <w:r>
        <w:rPr>
          <w:rFonts w:eastAsia="等线" w:ascii="Arial" w:cs="Arial" w:hAnsi="Arial"/>
          <w:b w:val="true"/>
          <w:sz w:val="22"/>
        </w:rPr>
        <w:t>岗位</w:t>
      </w:r>
      <w:r>
        <w:rPr>
          <w:rFonts w:eastAsia="等线" w:ascii="Arial" w:cs="Arial" w:hAnsi="Arial"/>
          <w:sz w:val="22"/>
        </w:rPr>
        <w:t>：带货助播 / 场控</w:t>
        <w:br/>
      </w:r>
      <w:r>
        <w:rPr>
          <w:rFonts w:eastAsia="等线" w:ascii="Arial" w:cs="Arial" w:hAnsi="Arial"/>
          <w:b w:val="true"/>
          <w:sz w:val="22"/>
        </w:rPr>
        <w:t>报告人</w:t>
      </w:r>
      <w:r>
        <w:rPr>
          <w:rFonts w:eastAsia="等线" w:ascii="Arial" w:cs="Arial" w:hAnsi="Arial"/>
          <w:sz w:val="22"/>
        </w:rPr>
        <w:t>：闫文杰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一、本场核心数据概览</w:t>
      </w:r>
      <w:bookmarkEnd w:id="0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650"/>
        <w:gridCol w:w="1650"/>
        <w:gridCol w:w="1650"/>
        <w:gridCol w:w="1650"/>
        <w:gridCol w:w="1650"/>
      </w:tblGrid>
      <w:tr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核心指标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本场数值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较第 10 场基准值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较上场（第 14 场）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周目标完成度</w:t>
            </w:r>
          </w:p>
        </w:tc>
      </w:tr>
      <w:tr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累计观看人数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862 人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+43.7%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+10.5%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86.2%</w:t>
            </w:r>
          </w:p>
        </w:tc>
      </w:tr>
      <w:tr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峰值在线人数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89 人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+32.8%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+7.2%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</w:tr>
      <w:tr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平均停留时长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 分 55 秒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+9.5%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+3.6%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79.2%</w:t>
            </w:r>
          </w:p>
        </w:tc>
      </w:tr>
      <w:tr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UV 价值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1.61 元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+34.2%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+6.6%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80.5%</w:t>
            </w:r>
          </w:p>
        </w:tc>
      </w:tr>
      <w:tr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商品点击率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28.7%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+18.9%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+2.1%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</w:tr>
      <w:tr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整体下单转化率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5.8%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+26.1%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+1.8%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</w:tr>
      <w:tr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转粉率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2.61%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+4.4%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+1.2%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65.3%</w:t>
            </w:r>
          </w:p>
        </w:tc>
      </w:tr>
      <w:tr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评论互动率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11.3%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+27.1%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+4.5%</w:t>
            </w:r>
          </w:p>
        </w:tc>
        <w:tc>
          <w:tcPr>
            <w:tcW w:w="165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</w:tr>
    </w:tbl>
    <w:p/>
    <w:tbl>
      <w:tblPr>
        <w:tblW w:w="0" w:type="auto"/>
        <w:tblInd w:w="0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  <w:tblLayout w:type="fixed"/>
      </w:tblPr>
      <w:tblGrid>
        <w:gridCol w:w="8280"/>
      </w:tblGrid>
      <w:tr>
        <w:tc>
          <w:tcPr>
            <w:tcW w:w="8280" w:type="dxa"/>
            <w:tcBorders>
              <w:top w:val="nil"/>
              <w:left w:sz="18" w:val="single" w:color="BBBFC4"/>
              <w:bottom w:val="nil"/>
              <w:right w:val="nil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color w:val="646a73"/>
                <w:sz w:val="22"/>
              </w:rPr>
              <w:t>备注：第 10 场为选品体系重构后的基准场次；本周目标为场均观看破 1000、平均停留破 2 分 25 秒、UV 价值破 2 元。</w:t>
            </w:r>
          </w:p>
        </w:tc>
      </w:tr>
    </w:tbl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二、分维度数据深度复盘</w:t>
      </w:r>
      <w:bookmarkEnd w:id="1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" w:id="2"/>
      <w:r>
        <w:rPr>
          <w:rFonts w:eastAsia="等线" w:ascii="Arial" w:cs="Arial" w:hAnsi="Arial"/>
          <w:b w:val="true"/>
          <w:sz w:val="30"/>
        </w:rPr>
        <w:t>1. 流量维度：自然流量占比提升，峰值出现在首波福利期</w:t>
      </w:r>
      <w:bookmarkEnd w:id="2"/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流量来源结构：自然推荐占比 72%、关注页占比 18%、同城占比 10%；自然推荐流量较上场提升 8 个百分点，标签精准度持续优化。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流量波动节点：</w:t>
      </w:r>
    </w:p>
    <w:p>
      <w:pPr>
        <w:numPr>
          <w:numId w:val="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19:03（开场第 3 分钟）：在线人数达到峰值 89 人，对应开场 9.9 元福利预告环节，流量承接效果达标。</w:t>
      </w:r>
    </w:p>
    <w:p>
      <w:pPr>
        <w:numPr>
          <w:numId w:val="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19:42（第 42 分钟）：在线人数回落至 42 人，对应第二款新品讲解中段，为全场最大流失节点。</w:t>
      </w:r>
    </w:p>
    <w:p>
      <w:pPr>
        <w:numPr>
          <w:numId w:val="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20:30（返场环节）：在线人数小幅回升至 61 人，对应米线爆款返场 + 限时减价环节，流量召回有效。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3" w:id="3"/>
      <w:r>
        <w:rPr>
          <w:rFonts w:eastAsia="等线" w:ascii="Arial" w:cs="Arial" w:hAnsi="Arial"/>
          <w:b w:val="true"/>
          <w:sz w:val="30"/>
        </w:rPr>
        <w:t>2. 留存维度：开场留存显著改善，中段转品流失严重</w:t>
      </w:r>
      <w:bookmarkEnd w:id="3"/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30 秒开场留存率：从第 10 场的 35% 提升至 52%，验证 “福利预告 + 云南地域共鸣” 双开场话术的优化效果，用户首屏留人能力明显提升。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分时段流失分析：</w:t>
      </w:r>
    </w:p>
    <w:p>
      <w:pPr>
        <w:numPr>
          <w:numId w:val="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0-5 分钟：流失率 48%，主要为非精准流量自然流失，符合品类正常水平。</w:t>
      </w:r>
    </w:p>
    <w:p>
      <w:pPr>
        <w:numPr>
          <w:numId w:val="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20-45 分钟：累计流失率达 62%，集中在新品转品、长段落成分讲解环节，用户耐心不足。</w:t>
      </w:r>
    </w:p>
    <w:p>
      <w:pPr>
        <w:numPr>
          <w:numId w:val="1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45 分钟后：流失趋缓，剩余用户多为精准意向客群，转化率稳定。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4" w:id="4"/>
      <w:r>
        <w:rPr>
          <w:rFonts w:eastAsia="等线" w:ascii="Arial" w:cs="Arial" w:hAnsi="Arial"/>
          <w:b w:val="true"/>
          <w:sz w:val="30"/>
        </w:rPr>
        <w:t>3. 转化维度：核心爆品表现稳定，新品测品未达预期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本场共上架 6 款 SKU，各单品表现如下：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380"/>
        <w:gridCol w:w="1380"/>
        <w:gridCol w:w="1380"/>
        <w:gridCol w:w="1380"/>
        <w:gridCol w:w="1380"/>
        <w:gridCol w:w="1380"/>
      </w:tblGrid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货品层级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单品名称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讲解时长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点击率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下单转化率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GMV 占比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引流款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9.9 元腌菜小吃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8 分钟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36.2%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4.1%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12%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利润款（爆品）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鲜榨酸汤米线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45 分钟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35.7%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8.3%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68%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利润款（新品）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笋尖米线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22 分钟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12.4%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2.1%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7%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形象款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特产三拼礼盒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15 分钟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18.9%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3.2%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13%</w:t>
            </w:r>
          </w:p>
        </w:tc>
      </w:tr>
    </w:tbl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核心结论：爆品酸汤米线贡献近 7 成 GMV，单品即时下单率较初始提升 21%，选品逻辑成立；新品笋尖米线点击率、转化率双低，未通过测品验证。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UV 价值拆解：客单价较上场提升 2.3 元，转化率提升 0.1 个百分点，共同推动 UV 价值上涨，客单价提升贡献占比 62%。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5" w:id="5"/>
      <w:r>
        <w:rPr>
          <w:rFonts w:eastAsia="等线" w:ascii="Arial" w:cs="Arial" w:hAnsi="Arial"/>
          <w:b w:val="true"/>
          <w:sz w:val="30"/>
        </w:rPr>
        <w:t>4. 粉丝维度：转粉引导不足，权益感知度低</w:t>
      </w:r>
      <w:bookmarkEnd w:id="5"/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本场新增粉丝 22 人，转粉率 2.61%，仅较基准值小幅提升，未达周度目标。</w:t>
      </w:r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问题表现：全场仅开场口播 1 次 “关注领优惠券”，场控公屏引导仅 2 次，用户对粉丝专属权益感知弱，无明确的关注动机。</w:t>
      </w:r>
    </w:p>
    <w:p>
      <w:pPr>
        <w:numPr>
          <w:numId w:val="1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粉丝转化表现：粉丝用户下单占比 21%，高于非粉丝用户，说明粉丝精准度更高，沉淀价值大。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6" w:id="6"/>
      <w:r>
        <w:rPr>
          <w:rFonts w:eastAsia="等线" w:ascii="Arial" w:cs="Arial" w:hAnsi="Arial"/>
          <w:b w:val="true"/>
          <w:sz w:val="32"/>
        </w:rPr>
        <w:t>三、本场核心问题与归因分析</w:t>
      </w:r>
      <w:bookmarkEnd w:id="6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7" w:id="7"/>
      <w:r>
        <w:rPr>
          <w:rFonts w:eastAsia="等线" w:ascii="Arial" w:cs="Arial" w:hAnsi="Arial"/>
          <w:b w:val="true"/>
          <w:sz w:val="30"/>
        </w:rPr>
        <w:t>1. 中段转品衔接断层，导致用户批量流失</w:t>
      </w:r>
      <w:bookmarkEnd w:id="7"/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现象：新品讲解环节在线人数从 76 人跌至 42 人，3 分钟内流失 34 人。</w:t>
      </w:r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归因：</w:t>
      </w:r>
    </w:p>
    <w:p>
      <w:pPr>
        <w:numPr>
          <w:numId w:val="1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转品无过渡话术，直接从爆品切换到新品，用户无心理预期；</w:t>
      </w:r>
    </w:p>
    <w:p>
      <w:pPr>
        <w:numPr>
          <w:numId w:val="1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新品讲解前未释放小福利钩子，无法留住用户继续观看；</w:t>
      </w:r>
    </w:p>
    <w:p>
      <w:pPr>
        <w:numPr>
          <w:numId w:val="20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新品先讲成分、后讲场景，前 1 分钟无用户痛点，用户快速划走。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8" w:id="8"/>
      <w:r>
        <w:rPr>
          <w:rFonts w:eastAsia="等线" w:ascii="Arial" w:cs="Arial" w:hAnsi="Arial"/>
          <w:b w:val="true"/>
          <w:sz w:val="30"/>
        </w:rPr>
        <w:t>2. 新品选品与卖点匹配偏差，转化效率低下</w:t>
      </w:r>
      <w:bookmarkEnd w:id="8"/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现象：笋尖米线点击率不足 13%，转化率仅 2.1%，远低于爆品水平。</w:t>
      </w:r>
    </w:p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归因：</w:t>
      </w:r>
    </w:p>
    <w:p>
      <w:pPr>
        <w:numPr>
          <w:numId w:val="23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选品端：笋尖口味受众偏窄，未提前做用户评论调研，与直播间主力客群（偏爱经典酸汤口）匹配度低；</w:t>
      </w:r>
    </w:p>
    <w:p>
      <w:pPr>
        <w:numPr>
          <w:numId w:val="2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话术端：卖点侧重 “笋尖鲜嫩”，未结合 “免煮、速食、宿舍可泡” 等用户高频需求，场景代入不足。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9" w:id="9"/>
      <w:r>
        <w:rPr>
          <w:rFonts w:eastAsia="等线" w:ascii="Arial" w:cs="Arial" w:hAnsi="Arial"/>
          <w:b w:val="true"/>
          <w:sz w:val="30"/>
        </w:rPr>
        <w:t>3. 转粉动作无标准化节奏，粉丝沉淀效率低</w:t>
      </w:r>
      <w:bookmarkEnd w:id="9"/>
    </w:p>
    <w:p>
      <w:pPr>
        <w:numPr>
          <w:numId w:val="2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现象：全场转粉引导不足 3 次，转粉率未达周目标的 70%。</w:t>
      </w:r>
    </w:p>
    <w:p>
      <w:pPr>
        <w:numPr>
          <w:numId w:val="2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归因：</w:t>
      </w:r>
    </w:p>
    <w:p>
      <w:pPr>
        <w:numPr>
          <w:numId w:val="2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未将转粉引导嵌入固定直播节点，依赖主播随机口播，频次无保障；</w:t>
      </w:r>
    </w:p>
    <w:p>
      <w:pPr>
        <w:numPr>
          <w:numId w:val="2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场控公屏配合不及时，未同步弹出粉丝权益说明，用户感知弱；</w:t>
      </w:r>
    </w:p>
    <w:p>
      <w:pPr>
        <w:numPr>
          <w:numId w:val="29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粉丝专属福利无差异化，与普通用户优惠券一致，关注驱动力不足。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0" w:id="10"/>
      <w:r>
        <w:rPr>
          <w:rFonts w:eastAsia="等线" w:ascii="Arial" w:cs="Arial" w:hAnsi="Arial"/>
          <w:b w:val="true"/>
          <w:sz w:val="32"/>
        </w:rPr>
        <w:t>四、本场已验证有效动作</w:t>
      </w:r>
      <w:bookmarkEnd w:id="10"/>
    </w:p>
    <w:p>
      <w:pPr>
        <w:numPr>
          <w:numId w:val="3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双开场话术落地</w:t>
      </w:r>
      <w:r>
        <w:rPr>
          <w:rFonts w:eastAsia="等线" w:ascii="Arial" w:cs="Arial" w:hAnsi="Arial"/>
          <w:sz w:val="22"/>
        </w:rPr>
        <w:t>：开场 30 秒留存率从 35% 提升至 52%，平均停留时长较基准提升 9.5%，后续可固化为标准开场流程。</w:t>
      </w:r>
    </w:p>
    <w:p>
      <w:pPr>
        <w:numPr>
          <w:numId w:val="3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评论区关键词互动</w:t>
      </w:r>
      <w:r>
        <w:rPr>
          <w:rFonts w:eastAsia="等线" w:ascii="Arial" w:cs="Arial" w:hAnsi="Arial"/>
          <w:sz w:val="22"/>
        </w:rPr>
        <w:t>：场控定时引导 “扣‘想吃’领专属价”，评论互动率较上场提升 4.5 个百分点，直播间活跃度与算法推荐正向相关。</w:t>
      </w:r>
    </w:p>
    <w:p>
      <w:pPr>
        <w:numPr>
          <w:numId w:val="3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爆品三段式讲解</w:t>
      </w:r>
      <w:r>
        <w:rPr>
          <w:rFonts w:eastAsia="等线" w:ascii="Arial" w:cs="Arial" w:hAnsi="Arial"/>
          <w:sz w:val="22"/>
        </w:rPr>
        <w:t>：“试吃展示 + 成分讲解 + 场景代入” 的米线讲解脚本，持续验证有效，单品转化率稳定在 8% 以上。</w:t>
      </w:r>
    </w:p>
    <w:p>
      <w:pPr>
        <w:pBdr>
          <w:bottom w:val="single" w:color="dee0e3"/>
          <w:between w:val="single" w:color="dee0e3"/>
        </w:pBdr>
        <w:spacing w:before="120" w:after="120" w:line="288" w:lineRule="auto"/>
        <w:ind w:left="0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1" w:id="11"/>
      <w:r>
        <w:rPr>
          <w:rFonts w:eastAsia="等线" w:ascii="Arial" w:cs="Arial" w:hAnsi="Arial"/>
          <w:b w:val="true"/>
          <w:sz w:val="32"/>
        </w:rPr>
        <w:t>五、下一场（第 16 场）优化执行方案</w:t>
      </w:r>
      <w:bookmarkEnd w:id="11"/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2070"/>
        <w:gridCol w:w="2070"/>
        <w:gridCol w:w="2070"/>
        <w:gridCol w:w="2070"/>
      </w:tblGrid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优化方向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具体动作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责任人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预期效果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转品留存优化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1. 所有转品前增加 “下一款福利预告” 过渡话术；</w:t>
              <w:br/>
              <w:t>2. 新品讲解前先上 1 分钟小额福袋留人；</w:t>
              <w:br/>
            </w:r>
            <w:r>
              <w:rPr>
                <w:rFonts w:eastAsia="等线" w:ascii="Arial" w:cs="Arial" w:hAnsi="Arial"/>
                <w:sz w:val="22"/>
              </w:rPr>
              <w:t>3. 新品话术调整为 “场景痛点在前，成分卖点在后”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闫文杰（脚本 + 场控）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中段流失率降低 15%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选品与测品调整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1. 暂停笋尖米线主推，替换为经典口味的粗米线新品；</w:t>
              <w:br/>
              <w:t>2. 新品上场前先做 3 分钟评论区口味调研，匹配用户需求；</w:t>
              <w:br/>
            </w:r>
            <w:r>
              <w:rPr>
                <w:rFonts w:eastAsia="等线" w:ascii="Arial" w:cs="Arial" w:hAnsi="Arial"/>
                <w:sz w:val="22"/>
              </w:rPr>
              <w:t>3. 新品讲解控制在 15 分钟内，数据不达标立即切回爆品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闫文杰（选品 + 对接）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新品点击率提升至 20%+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转粉效率提升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1. 固化 “开场、每款品结尾、收尾”3 次固定转粉口播；</w:t>
              <w:br/>
              <w:t>2. 场控每 20 分钟公屏推送 1 次粉丝专属券说明；</w:t>
              <w:br/>
            </w:r>
            <w:r>
              <w:rPr>
                <w:rFonts w:eastAsia="等线" w:ascii="Arial" w:cs="Arial" w:hAnsi="Arial"/>
                <w:sz w:val="22"/>
              </w:rPr>
              <w:t>3. 设置粉丝专属加赠（下单送腌菜），差异化权益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闫文杰（场控 + 权益设计）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转粉率提升至 3%+</w:t>
            </w:r>
          </w:p>
        </w:tc>
      </w:tr>
      <w:tr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数据复盘优化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直播中实时监控在线人数曲线，跌破 50 人立即触发福利救场机制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闫文杰（场控）</w:t>
            </w:r>
          </w:p>
        </w:tc>
        <w:tc>
          <w:tcPr>
            <w:tcW w:w="20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场均在线人数波动收窄</w:t>
            </w:r>
          </w:p>
        </w:tc>
      </w:tr>
    </w:tbl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报告提交时间</w:t>
      </w:r>
      <w:r>
        <w:rPr>
          <w:rFonts w:eastAsia="等线" w:ascii="Arial" w:cs="Arial" w:hAnsi="Arial"/>
          <w:sz w:val="22"/>
        </w:rPr>
        <w:t>：2025 年 03 月 26 日 22:30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|(Note: May contain AI-generated content.)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669053">
    <w:lvl>
      <w:numFmt w:val="bullet"/>
      <w:suff w:val="tab"/>
      <w:lvlText w:val="•"/>
      <w:rPr>
        <w:color w:val="3370ff"/>
      </w:rPr>
    </w:lvl>
  </w:abstractNum>
  <w:abstractNum w:abstractNumId="669054">
    <w:lvl>
      <w:numFmt w:val="bullet"/>
      <w:suff w:val="tab"/>
      <w:lvlText w:val="•"/>
      <w:rPr>
        <w:color w:val="3370ff"/>
      </w:rPr>
    </w:lvl>
  </w:abstractNum>
  <w:abstractNum w:abstractNumId="669055">
    <w:lvl>
      <w:numFmt w:val="bullet"/>
      <w:suff w:val="tab"/>
      <w:lvlText w:val="￮"/>
      <w:rPr>
        <w:color w:val="3370ff"/>
      </w:rPr>
    </w:lvl>
  </w:abstractNum>
  <w:abstractNum w:abstractNumId="669056">
    <w:lvl>
      <w:numFmt w:val="bullet"/>
      <w:suff w:val="tab"/>
      <w:lvlText w:val="￮"/>
      <w:rPr>
        <w:color w:val="3370ff"/>
      </w:rPr>
    </w:lvl>
  </w:abstractNum>
  <w:abstractNum w:abstractNumId="669057">
    <w:lvl>
      <w:numFmt w:val="bullet"/>
      <w:suff w:val="tab"/>
      <w:lvlText w:val="￮"/>
      <w:rPr>
        <w:color w:val="3370ff"/>
      </w:rPr>
    </w:lvl>
  </w:abstractNum>
  <w:abstractNum w:abstractNumId="669058">
    <w:lvl>
      <w:numFmt w:val="bullet"/>
      <w:suff w:val="tab"/>
      <w:lvlText w:val="•"/>
      <w:rPr>
        <w:color w:val="3370ff"/>
      </w:rPr>
    </w:lvl>
  </w:abstractNum>
  <w:abstractNum w:abstractNumId="669059">
    <w:lvl>
      <w:numFmt w:val="bullet"/>
      <w:suff w:val="tab"/>
      <w:lvlText w:val="•"/>
      <w:rPr>
        <w:color w:val="3370ff"/>
      </w:rPr>
    </w:lvl>
  </w:abstractNum>
  <w:abstractNum w:abstractNumId="669060">
    <w:lvl>
      <w:numFmt w:val="bullet"/>
      <w:suff w:val="tab"/>
      <w:lvlText w:val="￮"/>
      <w:rPr>
        <w:color w:val="3370ff"/>
      </w:rPr>
    </w:lvl>
  </w:abstractNum>
  <w:abstractNum w:abstractNumId="669061">
    <w:lvl>
      <w:numFmt w:val="bullet"/>
      <w:suff w:val="tab"/>
      <w:lvlText w:val="￮"/>
      <w:rPr>
        <w:color w:val="3370ff"/>
      </w:rPr>
    </w:lvl>
  </w:abstractNum>
  <w:abstractNum w:abstractNumId="669062">
    <w:lvl>
      <w:numFmt w:val="bullet"/>
      <w:suff w:val="tab"/>
      <w:lvlText w:val="￮"/>
      <w:rPr>
        <w:color w:val="3370ff"/>
      </w:rPr>
    </w:lvl>
  </w:abstractNum>
  <w:abstractNum w:abstractNumId="669063">
    <w:lvl>
      <w:numFmt w:val="bullet"/>
      <w:suff w:val="tab"/>
      <w:lvlText w:val="•"/>
      <w:rPr>
        <w:color w:val="3370ff"/>
      </w:rPr>
    </w:lvl>
  </w:abstractNum>
  <w:abstractNum w:abstractNumId="669064">
    <w:lvl>
      <w:numFmt w:val="bullet"/>
      <w:suff w:val="tab"/>
      <w:lvlText w:val="•"/>
      <w:rPr>
        <w:color w:val="3370ff"/>
      </w:rPr>
    </w:lvl>
  </w:abstractNum>
  <w:abstractNum w:abstractNumId="669065">
    <w:lvl>
      <w:numFmt w:val="bullet"/>
      <w:suff w:val="tab"/>
      <w:lvlText w:val="•"/>
      <w:rPr>
        <w:color w:val="3370ff"/>
      </w:rPr>
    </w:lvl>
  </w:abstractNum>
  <w:abstractNum w:abstractNumId="669066">
    <w:lvl>
      <w:numFmt w:val="bullet"/>
      <w:suff w:val="tab"/>
      <w:lvlText w:val="•"/>
      <w:rPr>
        <w:color w:val="3370ff"/>
      </w:rPr>
    </w:lvl>
  </w:abstractNum>
  <w:abstractNum w:abstractNumId="669067">
    <w:lvl>
      <w:numFmt w:val="bullet"/>
      <w:suff w:val="tab"/>
      <w:lvlText w:val="•"/>
      <w:rPr>
        <w:color w:val="3370ff"/>
      </w:rPr>
    </w:lvl>
  </w:abstractNum>
  <w:abstractNum w:abstractNumId="669068">
    <w:lvl>
      <w:numFmt w:val="bullet"/>
      <w:suff w:val="tab"/>
      <w:lvlText w:val="•"/>
      <w:rPr>
        <w:color w:val="3370ff"/>
      </w:rPr>
    </w:lvl>
  </w:abstractNum>
  <w:abstractNum w:abstractNumId="669069">
    <w:lvl>
      <w:numFmt w:val="bullet"/>
      <w:suff w:val="tab"/>
      <w:lvlText w:val="•"/>
      <w:rPr>
        <w:color w:val="3370ff"/>
      </w:rPr>
    </w:lvl>
  </w:abstractNum>
  <w:abstractNum w:abstractNumId="669070">
    <w:lvl>
      <w:start w:val="1"/>
      <w:numFmt w:val="lowerLetter"/>
      <w:suff w:val="tab"/>
      <w:lvlText w:val="%1."/>
      <w:rPr>
        <w:color w:val="3370ff"/>
      </w:rPr>
    </w:lvl>
  </w:abstractNum>
  <w:abstractNum w:abstractNumId="669071">
    <w:lvl>
      <w:start w:val="2"/>
      <w:numFmt w:val="lowerLetter"/>
      <w:suff w:val="tab"/>
      <w:lvlText w:val="%1."/>
      <w:rPr>
        <w:color w:val="3370ff"/>
      </w:rPr>
    </w:lvl>
  </w:abstractNum>
  <w:abstractNum w:abstractNumId="669072">
    <w:lvl>
      <w:start w:val="3"/>
      <w:numFmt w:val="lowerLetter"/>
      <w:suff w:val="tab"/>
      <w:lvlText w:val="%1."/>
      <w:rPr>
        <w:color w:val="3370ff"/>
      </w:rPr>
    </w:lvl>
  </w:abstractNum>
  <w:abstractNum w:abstractNumId="669073">
    <w:lvl>
      <w:numFmt w:val="bullet"/>
      <w:suff w:val="tab"/>
      <w:lvlText w:val="•"/>
      <w:rPr>
        <w:color w:val="3370ff"/>
      </w:rPr>
    </w:lvl>
  </w:abstractNum>
  <w:abstractNum w:abstractNumId="669074">
    <w:lvl>
      <w:numFmt w:val="bullet"/>
      <w:suff w:val="tab"/>
      <w:lvlText w:val="•"/>
      <w:rPr>
        <w:color w:val="3370ff"/>
      </w:rPr>
    </w:lvl>
  </w:abstractNum>
  <w:abstractNum w:abstractNumId="669075">
    <w:lvl>
      <w:start w:val="1"/>
      <w:numFmt w:val="lowerLetter"/>
      <w:suff w:val="tab"/>
      <w:lvlText w:val="%1."/>
      <w:rPr>
        <w:color w:val="3370ff"/>
      </w:rPr>
    </w:lvl>
  </w:abstractNum>
  <w:abstractNum w:abstractNumId="669076">
    <w:lvl>
      <w:start w:val="2"/>
      <w:numFmt w:val="lowerLetter"/>
      <w:suff w:val="tab"/>
      <w:lvlText w:val="%1."/>
      <w:rPr>
        <w:color w:val="3370ff"/>
      </w:rPr>
    </w:lvl>
  </w:abstractNum>
  <w:abstractNum w:abstractNumId="669077">
    <w:lvl>
      <w:numFmt w:val="bullet"/>
      <w:suff w:val="tab"/>
      <w:lvlText w:val="•"/>
      <w:rPr>
        <w:color w:val="3370ff"/>
      </w:rPr>
    </w:lvl>
  </w:abstractNum>
  <w:abstractNum w:abstractNumId="669078">
    <w:lvl>
      <w:numFmt w:val="bullet"/>
      <w:suff w:val="tab"/>
      <w:lvlText w:val="•"/>
      <w:rPr>
        <w:color w:val="3370ff"/>
      </w:rPr>
    </w:lvl>
  </w:abstractNum>
  <w:abstractNum w:abstractNumId="669079">
    <w:lvl>
      <w:start w:val="1"/>
      <w:numFmt w:val="lowerLetter"/>
      <w:suff w:val="tab"/>
      <w:lvlText w:val="%1."/>
      <w:rPr>
        <w:color w:val="3370ff"/>
      </w:rPr>
    </w:lvl>
  </w:abstractNum>
  <w:abstractNum w:abstractNumId="669080">
    <w:lvl>
      <w:start w:val="2"/>
      <w:numFmt w:val="lowerLetter"/>
      <w:suff w:val="tab"/>
      <w:lvlText w:val="%1."/>
      <w:rPr>
        <w:color w:val="3370ff"/>
      </w:rPr>
    </w:lvl>
  </w:abstractNum>
  <w:abstractNum w:abstractNumId="669081">
    <w:lvl>
      <w:start w:val="3"/>
      <w:numFmt w:val="lowerLetter"/>
      <w:suff w:val="tab"/>
      <w:lvlText w:val="%1."/>
      <w:rPr>
        <w:color w:val="3370ff"/>
      </w:rPr>
    </w:lvl>
  </w:abstractNum>
  <w:abstractNum w:abstractNumId="669082">
    <w:lvl>
      <w:start w:val="1"/>
      <w:numFmt w:val="decimal"/>
      <w:suff w:val="tab"/>
      <w:lvlText w:val="%1."/>
      <w:rPr>
        <w:color w:val="3370ff"/>
      </w:rPr>
    </w:lvl>
  </w:abstractNum>
  <w:abstractNum w:abstractNumId="669083">
    <w:lvl>
      <w:start w:val="2"/>
      <w:numFmt w:val="decimal"/>
      <w:suff w:val="tab"/>
      <w:lvlText w:val="%1."/>
      <w:rPr>
        <w:color w:val="3370ff"/>
      </w:rPr>
    </w:lvl>
  </w:abstractNum>
  <w:abstractNum w:abstractNumId="669084">
    <w:lvl>
      <w:start w:val="3"/>
      <w:numFmt w:val="decimal"/>
      <w:suff w:val="tab"/>
      <w:lvlText w:val="%1."/>
      <w:rPr>
        <w:color w:val="3370ff"/>
      </w:rPr>
    </w:lvl>
  </w:abstractNum>
  <w:num w:numId="1">
    <w:abstractNumId w:val="669053"/>
  </w:num>
  <w:num w:numId="2">
    <w:abstractNumId w:val="669054"/>
  </w:num>
  <w:num w:numId="3">
    <w:abstractNumId w:val="669055"/>
  </w:num>
  <w:num w:numId="4">
    <w:abstractNumId w:val="669056"/>
  </w:num>
  <w:num w:numId="5">
    <w:abstractNumId w:val="669057"/>
  </w:num>
  <w:num w:numId="6">
    <w:abstractNumId w:val="669058"/>
  </w:num>
  <w:num w:numId="7">
    <w:abstractNumId w:val="669059"/>
  </w:num>
  <w:num w:numId="8">
    <w:abstractNumId w:val="669060"/>
  </w:num>
  <w:num w:numId="9">
    <w:abstractNumId w:val="669061"/>
  </w:num>
  <w:num w:numId="10">
    <w:abstractNumId w:val="669062"/>
  </w:num>
  <w:num w:numId="11">
    <w:abstractNumId w:val="669063"/>
  </w:num>
  <w:num w:numId="12">
    <w:abstractNumId w:val="669064"/>
  </w:num>
  <w:num w:numId="13">
    <w:abstractNumId w:val="669065"/>
  </w:num>
  <w:num w:numId="14">
    <w:abstractNumId w:val="669066"/>
  </w:num>
  <w:num w:numId="15">
    <w:abstractNumId w:val="669067"/>
  </w:num>
  <w:num w:numId="16">
    <w:abstractNumId w:val="669068"/>
  </w:num>
  <w:num w:numId="17">
    <w:abstractNumId w:val="669069"/>
  </w:num>
  <w:num w:numId="18">
    <w:abstractNumId w:val="669070"/>
  </w:num>
  <w:num w:numId="19">
    <w:abstractNumId w:val="669071"/>
  </w:num>
  <w:num w:numId="20">
    <w:abstractNumId w:val="669072"/>
  </w:num>
  <w:num w:numId="21">
    <w:abstractNumId w:val="669073"/>
  </w:num>
  <w:num w:numId="22">
    <w:abstractNumId w:val="669074"/>
  </w:num>
  <w:num w:numId="23">
    <w:abstractNumId w:val="669075"/>
  </w:num>
  <w:num w:numId="24">
    <w:abstractNumId w:val="669076"/>
  </w:num>
  <w:num w:numId="25">
    <w:abstractNumId w:val="669077"/>
  </w:num>
  <w:num w:numId="26">
    <w:abstractNumId w:val="669078"/>
  </w:num>
  <w:num w:numId="27">
    <w:abstractNumId w:val="669079"/>
  </w:num>
  <w:num w:numId="28">
    <w:abstractNumId w:val="669080"/>
  </w:num>
  <w:num w:numId="29">
    <w:abstractNumId w:val="669081"/>
  </w:num>
  <w:num w:numId="30">
    <w:abstractNumId w:val="669082"/>
  </w:num>
  <w:num w:numId="31">
    <w:abstractNumId w:val="669083"/>
  </w:num>
  <w:num w:numId="32">
    <w:abstractNumId w:val="669084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2026-08-18T15:12:59Z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{"Label":"1","ContentProducer":"001191110102MACQD9K64010000","ProduceID":"7675389868194155718","ReservedCode1":"","ContentPropagator":"","PropagateID":"","ReservedCode2":""}</vt:lpwstr>
  </property>
</Properties>
</file>